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ALLEGATO 1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ind w:right="-150"/>
        <w:jc w:val="both"/>
        <w:rPr>
          <w:rFonts w:ascii="Overlock" w:cs="Overlock" w:eastAsia="Overlock" w:hAnsi="Overlock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1295400</wp:posOffset>
            </wp:positionH>
            <wp:positionV relativeFrom="paragraph">
              <wp:posOffset>114300</wp:posOffset>
            </wp:positionV>
            <wp:extent cx="3919538" cy="674966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19538" cy="67496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 Domanda di partecipazione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CODICE IDENTIFICATIVO PROGETTO: ESO4.5.A2.B-FSEPNAB-2026-130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CUP: G14D26003700007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AVVISO SELEZIONE ESPERTO E TUTOR RIVOLTA AL PERSONALE INTERNO, OPPURE DI ALTRE ISTITUZIONI SCOLASTICHE OPPURE ESTERNO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Fonts w:ascii="Overlock" w:cs="Overlock" w:eastAsia="Overlock" w:hAnsi="Overlock"/>
          <w:b w:val="1"/>
          <w:bCs w:val="1"/>
          <w:sz w:val="26"/>
          <w:szCs w:val="26"/>
          <w:rtl w:val="0"/>
        </w:rPr>
        <w:t xml:space="preserve">“Dalla valutazione degli apprendimenti alla valutazione per l’orientamento: strategie per alunni con BES e DSA” - “Innovare gli ambienti di apprendimento: metodologie attive per una didattica orientativa e coinvolgente” - “Clima di classe e benessere relazionale: strategie per la prevenzione del bullismo e gestione delle dinamiche di gruppo.” - “Internazionalizzazione e innovazione: la metodologia CLIL come ponte verso le competenze globali.” - “Sguardi che orientano: l’osservazione sistematica e la valutazione descrittiva nella continuità 3-10 anni” - “Gestire le sfide del comportamento: tecniche di de-escalation, supporto proattivo e strategie per il benessere del gruppo classe” - “Gestione della complessità in classe: strategie di de-escalation, mediazione dei conflitti e promozione della responsabilità.” - “Narrazioni digitali e linguaggi audiovisivi: l’audiovisivo come strumento di apprendimento attivo e contrasto alla dispersione.” - “Progettare per unità di apprendimento: strategie avanzate di micro e macro progettazione per una didattica efficace”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Overlock" w:cs="Overlock" w:eastAsia="Overlock" w:hAnsi="Overlock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Dell’Istitut</w:t>
      </w:r>
      <w:r w:rsidDel="00000000" w:rsidR="00000000" w:rsidRPr="00000000">
        <w:rPr>
          <w:rFonts w:ascii="Overlock" w:cs="Overlock" w:eastAsia="Overlock" w:hAnsi="Overlock"/>
          <w:sz w:val="21"/>
          <w:szCs w:val="21"/>
          <w:rtl w:val="0"/>
        </w:rPr>
        <w:t xml:space="preserve">o Omnicomprensivo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sz w:val="21"/>
          <w:szCs w:val="21"/>
          <w:rtl w:val="0"/>
        </w:rPr>
        <w:t xml:space="preserve">Primo Levi S.Egidio Ancarano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Il /La sottoscritto/a ___________________________________________, codice fiscale _____________________________presa visione del</w:t>
      </w: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l’avviso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center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 poter partecipare al</w:t>
      </w: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la selezione </w:t>
      </w: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pubblic</w:t>
      </w: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per il conferimento dell’incarico professionale di esperto o tutor (barrare la casella che interessa)</w:t>
      </w:r>
    </w:p>
    <w:p w:rsidR="00000000" w:rsidDel="00000000" w:rsidP="00000000" w:rsidRDefault="00000000" w:rsidRPr="00000000" w14:paraId="00000018">
      <w:pPr>
        <w:spacing w:after="0" w:line="276" w:lineRule="auto"/>
        <w:ind w:left="0" w:firstLine="0"/>
        <w:jc w:val="left"/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6" w:lineRule="auto"/>
        <w:ind w:left="72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31581834"/>
        <w:tag w:val="goog_rdk_28"/>
      </w:sdtPr>
      <w:sdtContent>
        <w:tbl>
          <w:tblPr>
            <w:tblStyle w:val="Table1"/>
            <w:tblW w:w="10440.0" w:type="dxa"/>
            <w:jc w:val="left"/>
            <w:tblInd w:w="-705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400"/>
            <w:gridCol w:w="1005"/>
            <w:gridCol w:w="1425"/>
            <w:gridCol w:w="1470"/>
            <w:gridCol w:w="4140"/>
            <w:tblGridChange w:id="0">
              <w:tblGrid>
                <w:gridCol w:w="2400"/>
                <w:gridCol w:w="1005"/>
                <w:gridCol w:w="1425"/>
                <w:gridCol w:w="1470"/>
                <w:gridCol w:w="4140"/>
              </w:tblGrid>
            </w:tblGridChange>
          </w:tblGrid>
          <w:tr>
            <w:trPr>
              <w:cantSplit w:val="0"/>
              <w:trHeight w:val="859.7211914062501" w:hRule="atLeast"/>
              <w:tblHeader w:val="0"/>
            </w:trPr>
            <w:sdt>
              <w:sdtPr>
                <w:lock w:val="contentLocked"/>
                <w:id w:val="526573374"/>
                <w:tag w:val="goog_rdk_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A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Verdana" w:cs="Verdana" w:eastAsia="Verdana" w:hAnsi="Verdana"/>
                        <w:b w:val="1"/>
                        <w:bCs w:val="1"/>
                        <w:sz w:val="18"/>
                        <w:szCs w:val="18"/>
                        <w:rtl w:val="0"/>
                      </w:rPr>
                      <w:t xml:space="preserve">ATTIVITÀ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828820356"/>
                <w:tag w:val="goog_rdk_1"/>
              </w:sdtPr>
              <w:sdtContent>
                <w:tc>
                  <w:tcPr>
                    <w:tcBorders>
                      <w:top w:color="000000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B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Verdana" w:cs="Verdana" w:eastAsia="Verdana" w:hAnsi="Verdana"/>
                        <w:b w:val="1"/>
                        <w:bCs w:val="1"/>
                        <w:sz w:val="18"/>
                        <w:szCs w:val="18"/>
                        <w:rtl w:val="0"/>
                      </w:rPr>
                      <w:t xml:space="preserve">ORDINE DI SCUOLA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371452105"/>
                <w:tag w:val="goog_rdk_2"/>
              </w:sdtPr>
              <w:sdtContent>
                <w:tc>
                  <w:tcPr>
                    <w:tcBorders>
                      <w:top w:color="000000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C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Verdana" w:cs="Verdana" w:eastAsia="Verdana" w:hAnsi="Verdana"/>
                        <w:b w:val="1"/>
                        <w:bCs w:val="1"/>
                        <w:sz w:val="18"/>
                        <w:szCs w:val="18"/>
                        <w:rtl w:val="0"/>
                      </w:rPr>
                      <w:t xml:space="preserve">CLASSI COINVOLTE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id w:val="49095283"/>
                <w:tag w:val="goog_rdk_3"/>
              </w:sdtPr>
              <w:sdtContent>
                <w:tc>
                  <w:tcPr>
                    <w:tcBorders>
                      <w:top w:color="000000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D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Verdana" w:cs="Verdana" w:eastAsia="Verdana" w:hAnsi="Verdana"/>
                        <w:b w:val="1"/>
                        <w:bCs w:val="1"/>
                        <w:sz w:val="18"/>
                        <w:szCs w:val="18"/>
                        <w:rtl w:val="0"/>
                      </w:rPr>
                      <w:t xml:space="preserve">PERIODO DI SVOLGIMENTO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tc>
              <w:tcPr>
                <w:tcBorders>
                  <w:top w:color="000000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1E">
                <w:pPr>
                  <w:widowControl w:val="0"/>
                  <w:spacing w:after="0" w:line="276" w:lineRule="auto"/>
                  <w:jc w:val="center"/>
                  <w:rPr>
                    <w:rFonts w:ascii="Verdana" w:cs="Verdana" w:eastAsia="Verdana" w:hAnsi="Verdana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bCs w:val="1"/>
                    <w:sz w:val="18"/>
                    <w:szCs w:val="18"/>
                    <w:rtl w:val="0"/>
                  </w:rPr>
                  <w:t xml:space="preserve">CANDIDATURA PER (INDICARE CON UNA X)</w:t>
                </w:r>
              </w:p>
            </w:tc>
          </w:tr>
          <w:tr>
            <w:trPr>
              <w:cantSplit w:val="0"/>
              <w:trHeight w:val="1590" w:hRule="atLeast"/>
              <w:tblHeader w:val="0"/>
            </w:trPr>
            <w:sdt>
              <w:sdtPr>
                <w:lock w:val="contentLocked"/>
                <w:id w:val="391916031"/>
                <w:tag w:val="goog_rdk_4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1F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Dalla valutazione degli apprendimenti alla valutazione per l’orientamento: strategie per alunni con BES e DSA.</w:t>
                    </w:r>
                  </w:p>
                </w:tc>
              </w:sdtContent>
            </w:sdt>
            <w:sdt>
              <w:sdtPr>
                <w:lock w:val="contentLocked"/>
                <w:id w:val="-372484513"/>
                <w:tag w:val="goog_rdk_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0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332414569"/>
                <w:tag w:val="goog_rdk_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1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id w:val="-2047608324"/>
                <w:tag w:val="goog_rdk_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2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3">
                <w:pPr>
                  <w:widowControl w:val="0"/>
                  <w:spacing w:after="0" w:line="276" w:lineRule="auto"/>
                  <w:ind w:left="0" w:firstLine="0"/>
                  <w:jc w:val="left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____ESPERTO </w:t>
                </w:r>
              </w:p>
              <w:p w:rsidR="00000000" w:rsidDel="00000000" w:rsidP="00000000" w:rsidRDefault="00000000" w:rsidRPr="00000000" w14:paraId="00000024">
                <w:pPr>
                  <w:widowControl w:val="0"/>
                  <w:spacing w:after="0" w:line="276" w:lineRule="auto"/>
                  <w:ind w:left="0" w:firstLine="0"/>
                  <w:jc w:val="left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____TUTOR</w:t>
                </w:r>
              </w:p>
            </w:tc>
          </w:tr>
          <w:tr>
            <w:trPr>
              <w:cantSplit w:val="0"/>
              <w:trHeight w:val="1365" w:hRule="atLeast"/>
              <w:tblHeader w:val="0"/>
            </w:trPr>
            <w:sdt>
              <w:sdtPr>
                <w:lock w:val="contentLocked"/>
                <w:id w:val="-143528712"/>
                <w:tag w:val="goog_rdk_8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5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Innovare gli ambienti di apprendimento: metodologie attive per una didattica orientativa e coinvolgente</w:t>
                    </w:r>
                  </w:p>
                </w:tc>
              </w:sdtContent>
            </w:sdt>
            <w:sdt>
              <w:sdtPr>
                <w:lock w:val="contentLocked"/>
                <w:id w:val="1656046873"/>
                <w:tag w:val="goog_rdk_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6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2139273918"/>
                <w:tag w:val="goog_rdk_1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7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id w:val="526798369"/>
                <w:tag w:val="goog_rdk_1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8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9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____ESPERTO </w:t>
                </w:r>
              </w:p>
              <w:p w:rsidR="00000000" w:rsidDel="00000000" w:rsidP="00000000" w:rsidRDefault="00000000" w:rsidRPr="00000000" w14:paraId="0000002A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____TUTOR</w:t>
                </w:r>
              </w:p>
            </w:tc>
          </w:tr>
          <w:tr>
            <w:trPr>
              <w:cantSplit w:val="0"/>
              <w:trHeight w:val="1155" w:hRule="atLeast"/>
              <w:tblHeader w:val="0"/>
            </w:trPr>
            <w:sdt>
              <w:sdtPr>
                <w:lock w:val="contentLocked"/>
                <w:id w:val="-2047968514"/>
                <w:tag w:val="goog_rdk_12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B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Clima di classe e benessere relazionale: strategie per la prevenzione del bullismo e gestione delle dinamiche di gruppo.</w:t>
                    </w:r>
                  </w:p>
                </w:tc>
              </w:sdtContent>
            </w:sdt>
            <w:sdt>
              <w:sdtPr>
                <w:lock w:val="contentLocked"/>
                <w:id w:val="-10337388"/>
                <w:tag w:val="goog_rdk_1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C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325769772"/>
                <w:tag w:val="goog_rdk_1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D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id w:val="1539021140"/>
                <w:tag w:val="goog_rdk_1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2E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2F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____ESPERTO </w:t>
                </w:r>
              </w:p>
              <w:p w:rsidR="00000000" w:rsidDel="00000000" w:rsidP="00000000" w:rsidRDefault="00000000" w:rsidRPr="00000000" w14:paraId="00000030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____TUTOR</w:t>
                </w:r>
              </w:p>
            </w:tc>
          </w:tr>
          <w:tr>
            <w:trPr>
              <w:cantSplit w:val="0"/>
              <w:trHeight w:val="2010" w:hRule="atLeast"/>
              <w:tblHeader w:val="0"/>
            </w:trPr>
            <w:sdt>
              <w:sdtPr>
                <w:lock w:val="contentLocked"/>
                <w:id w:val="579324687"/>
                <w:tag w:val="goog_rdk_1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1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  <w:p w:rsidR="00000000" w:rsidDel="00000000" w:rsidP="00000000" w:rsidRDefault="00000000" w:rsidRPr="00000000" w14:paraId="00000032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Internazionalizzazione e innovazione: la metodologia CLIL come ponte verso le competenze globali.</w:t>
                    </w:r>
                  </w:p>
                </w:tc>
              </w:sdtContent>
            </w:sdt>
            <w:sdt>
              <w:sdtPr>
                <w:lock w:val="contentLocked"/>
                <w:id w:val="619112167"/>
                <w:tag w:val="goog_rdk_1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3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807288932"/>
                <w:tag w:val="goog_rdk_1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4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id w:val="2043510808"/>
                <w:tag w:val="goog_rdk_1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5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6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____ESPERTO </w:t>
                </w:r>
              </w:p>
              <w:p w:rsidR="00000000" w:rsidDel="00000000" w:rsidP="00000000" w:rsidRDefault="00000000" w:rsidRPr="00000000" w14:paraId="00000037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____TUTOR</w:t>
                </w:r>
              </w:p>
            </w:tc>
          </w:tr>
          <w:tr>
            <w:trPr>
              <w:cantSplit w:val="0"/>
              <w:trHeight w:val="2010" w:hRule="atLeast"/>
              <w:tblHeader w:val="0"/>
            </w:trPr>
            <w:sdt>
              <w:sdtPr>
                <w:lock w:val="contentLocked"/>
                <w:id w:val="-1101318105"/>
                <w:tag w:val="goog_rdk_20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8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Sguardi che orientano: l’osservazione sistematica e la valutazione descrittiva nella continuità 3-10 anni</w:t>
                    </w:r>
                  </w:p>
                </w:tc>
              </w:sdtContent>
            </w:sdt>
            <w:sdt>
              <w:sdtPr>
                <w:lock w:val="contentLocked"/>
                <w:id w:val="-1826420242"/>
                <w:tag w:val="goog_rdk_2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9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675348604"/>
                <w:tag w:val="goog_rdk_2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A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id w:val="1036619194"/>
                <w:tag w:val="goog_rdk_2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B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3C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____ESPERTO </w:t>
                </w:r>
              </w:p>
              <w:p w:rsidR="00000000" w:rsidDel="00000000" w:rsidP="00000000" w:rsidRDefault="00000000" w:rsidRPr="00000000" w14:paraId="0000003D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____TUTOR</w:t>
                </w:r>
              </w:p>
            </w:tc>
          </w:tr>
          <w:tr>
            <w:trPr>
              <w:cantSplit w:val="0"/>
              <w:trHeight w:val="1155" w:hRule="atLeast"/>
              <w:tblHeader w:val="0"/>
            </w:trPr>
            <w:sdt>
              <w:sdtPr>
                <w:lock w:val="contentLocked"/>
                <w:id w:val="-2106535687"/>
                <w:tag w:val="goog_rdk_24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E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Fonts w:ascii="Arial" w:cs="Arial" w:eastAsia="Arial" w:hAnsi="Arial"/>
                        <w:sz w:val="20"/>
                        <w:szCs w:val="20"/>
                        <w:rtl w:val="0"/>
                      </w:rPr>
                      <w:t xml:space="preserve">Gestire le sfide del comportamento: tecniche di de-escalation, supporto proattivo e strategie per il benessere del gruppo classe</w:t>
                    </w:r>
                  </w:p>
                </w:tc>
              </w:sdtContent>
            </w:sdt>
            <w:sdt>
              <w:sdtPr>
                <w:lock w:val="contentLocked"/>
                <w:id w:val="29610738"/>
                <w:tag w:val="goog_rdk_2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3F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633105502"/>
                <w:tag w:val="goog_rdk_2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40">
                    <w:pPr>
                      <w:widowControl w:val="0"/>
                      <w:spacing w:after="0"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id w:val="82706418"/>
                <w:tag w:val="goog_rdk_2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40.0" w:type="dxa"/>
                      <w:left w:w="40.0" w:type="dxa"/>
                      <w:bottom w:w="40.0" w:type="dxa"/>
                      <w:right w:w="40.0" w:type="dxa"/>
                    </w:tcMar>
                    <w:vAlign w:val="center"/>
                  </w:tcPr>
                  <w:p w:rsidR="00000000" w:rsidDel="00000000" w:rsidP="00000000" w:rsidRDefault="00000000" w:rsidRPr="00000000" w14:paraId="00000041">
                    <w:pPr>
                      <w:widowControl w:val="0"/>
                      <w:spacing w:after="0"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2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____ESPERTO </w:t>
                </w:r>
              </w:p>
              <w:p w:rsidR="00000000" w:rsidDel="00000000" w:rsidP="00000000" w:rsidRDefault="00000000" w:rsidRPr="00000000" w14:paraId="00000043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____TUTOR</w:t>
                </w:r>
              </w:p>
            </w:tc>
          </w:tr>
          <w:tr>
            <w:trPr>
              <w:cantSplit w:val="0"/>
              <w:trHeight w:val="1155" w:hRule="atLeast"/>
              <w:tblHeader w:val="0"/>
            </w:trPr>
            <w:tc>
              <w:tcPr>
                <w:tcBorders>
                  <w:top w:color="cccccc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4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Gestione della complessità in classe: strategie di de-escalation, mediazione dei conflitti e promozione della responsabilità.</w:t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5">
                <w:pPr>
                  <w:widowControl w:val="0"/>
                  <w:spacing w:after="0" w:line="276" w:lineRule="auto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6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7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8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____ESPERTO </w:t>
                </w:r>
              </w:p>
              <w:p w:rsidR="00000000" w:rsidDel="00000000" w:rsidP="00000000" w:rsidRDefault="00000000" w:rsidRPr="00000000" w14:paraId="00000049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____TUTOR</w:t>
                </w:r>
              </w:p>
            </w:tc>
          </w:tr>
          <w:tr>
            <w:trPr>
              <w:cantSplit w:val="0"/>
              <w:trHeight w:val="1155" w:hRule="atLeast"/>
              <w:tblHeader w:val="0"/>
            </w:trPr>
            <w:tc>
              <w:tcPr>
                <w:tcBorders>
                  <w:top w:color="cccccc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A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Narrazioni digitali e linguaggi audiovisivi: l’audiovisivo come strumento di apprendimento attivo e contrasto alla dispersione</w:t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B">
                <w:pPr>
                  <w:widowControl w:val="0"/>
                  <w:spacing w:after="0" w:line="276" w:lineRule="auto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C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D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4E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____ESPERTO </w:t>
                </w:r>
              </w:p>
              <w:p w:rsidR="00000000" w:rsidDel="00000000" w:rsidP="00000000" w:rsidRDefault="00000000" w:rsidRPr="00000000" w14:paraId="0000004F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____TUTOR</w:t>
                </w:r>
              </w:p>
            </w:tc>
          </w:tr>
          <w:tr>
            <w:trPr>
              <w:cantSplit w:val="0"/>
              <w:trHeight w:val="1155" w:hRule="atLeast"/>
              <w:tblHeader w:val="0"/>
            </w:trPr>
            <w:tc>
              <w:tcPr>
                <w:tcBorders>
                  <w:top w:color="cccccc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0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Progettare per unità di apprendimento: strategie avanzate di micro e macro progettazione per una didattica efficace.</w:t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1">
                <w:pPr>
                  <w:widowControl w:val="0"/>
                  <w:spacing w:after="0" w:line="276" w:lineRule="auto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2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3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cccccc" w:space="0" w:sz="5" w:val="single"/>
                  <w:left w:color="cccccc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54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____ESPERTO </w:t>
                </w:r>
              </w:p>
              <w:p w:rsidR="00000000" w:rsidDel="00000000" w:rsidP="00000000" w:rsidRDefault="00000000" w:rsidRPr="00000000" w14:paraId="00000055">
                <w:pPr>
                  <w:widowControl w:val="0"/>
                  <w:spacing w:after="0" w:line="276" w:lineRule="auto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____TUTOR</w:t>
                </w:r>
              </w:p>
            </w:tc>
          </w:tr>
        </w:tbl>
      </w:sdtContent>
    </w:sdt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Overlock" w:cs="Overlock" w:eastAsia="Overlock" w:hAnsi="Overlock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0" w:right="0" w:firstLine="0"/>
        <w:jc w:val="both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nell’ambito del progetto </w:t>
      </w:r>
      <w:r w:rsidDel="00000000" w:rsidR="00000000" w:rsidRPr="00000000">
        <w:rPr>
          <w:rFonts w:ascii="Overlock" w:cs="Overlock" w:eastAsia="Overlock" w:hAnsi="Overlock"/>
          <w:b w:val="1"/>
          <w:bCs w:val="1"/>
          <w:sz w:val="24"/>
          <w:szCs w:val="24"/>
          <w:rtl w:val="0"/>
        </w:rPr>
        <w:t xml:space="preserve">in epigrafe indicato e sotto la propria responsabilità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center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DICHIARA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 essere nato/a a __________________</w:t>
      </w: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______</w:t>
      </w: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_______________ il ____________________; 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 essere residente a___________________________________________________________ </w:t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Via _____________________________ n. _____ Prov. ( __ ) Telefono ___________________;</w:t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 (barrare la casella che interessa):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‬‬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0" w:line="360" w:lineRule="auto"/>
        <w:ind w:left="425.19685039370086" w:hanging="360"/>
        <w:jc w:val="both"/>
        <w:rPr>
          <w:rFonts w:ascii="Overlock" w:cs="Overlock" w:eastAsia="Overlock" w:hAnsi="Overlock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di partecipare alla selezione come interno</w:t>
      </w:r>
    </w:p>
    <w:p w:rsidR="00000000" w:rsidDel="00000000" w:rsidP="00000000" w:rsidRDefault="00000000" w:rsidRPr="00000000" w14:paraId="0000005E">
      <w:pPr>
        <w:spacing w:after="0" w:line="360" w:lineRule="auto"/>
        <w:ind w:left="795" w:firstLine="0"/>
        <w:jc w:val="both"/>
        <w:rPr>
          <w:rFonts w:ascii="Overlock" w:cs="Overlock" w:eastAsia="Overlock" w:hAnsi="Overlock"/>
          <w:sz w:val="24"/>
          <w:szCs w:val="24"/>
        </w:rPr>
      </w:pPr>
      <w:bookmarkStart w:colFirst="0" w:colLast="0" w:name="_heading=h.3yjpd9gjdgpx" w:id="1"/>
      <w:bookmarkEnd w:id="1"/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oppure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pacing w:after="0" w:line="360" w:lineRule="auto"/>
        <w:ind w:left="425.19685039370086" w:hanging="360"/>
        <w:jc w:val="both"/>
        <w:rPr>
          <w:rFonts w:ascii="Overlock" w:cs="Overlock" w:eastAsia="Overlock" w:hAnsi="Overlock"/>
          <w:sz w:val="24"/>
          <w:szCs w:val="24"/>
          <w:u w:val="none"/>
        </w:rPr>
      </w:pPr>
      <w:bookmarkStart w:colFirst="0" w:colLast="0" w:name="_heading=h.lfq7vfkiyhdz" w:id="2"/>
      <w:bookmarkEnd w:id="2"/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di partecipare alla selezione come collaborazione plurima</w:t>
      </w:r>
    </w:p>
    <w:p w:rsidR="00000000" w:rsidDel="00000000" w:rsidP="00000000" w:rsidRDefault="00000000" w:rsidRPr="00000000" w14:paraId="00000060">
      <w:pPr>
        <w:spacing w:after="0" w:line="360" w:lineRule="auto"/>
        <w:ind w:left="795" w:firstLine="0"/>
        <w:jc w:val="both"/>
        <w:rPr>
          <w:rFonts w:ascii="Overlock" w:cs="Overlock" w:eastAsia="Overlock" w:hAnsi="Overlock"/>
          <w:sz w:val="24"/>
          <w:szCs w:val="24"/>
        </w:rPr>
      </w:pPr>
      <w:bookmarkStart w:colFirst="0" w:colLast="0" w:name="_heading=h.uzs1zwviw60w" w:id="3"/>
      <w:bookmarkEnd w:id="3"/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oppure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spacing w:after="0" w:line="360" w:lineRule="auto"/>
        <w:ind w:left="425.19685039370086" w:hanging="360"/>
        <w:jc w:val="both"/>
        <w:rPr>
          <w:rFonts w:ascii="Overlock" w:cs="Overlock" w:eastAsia="Overlock" w:hAnsi="Overlock"/>
          <w:sz w:val="24"/>
          <w:szCs w:val="24"/>
          <w:u w:val="none"/>
        </w:rPr>
      </w:pPr>
      <w:bookmarkStart w:colFirst="0" w:colLast="0" w:name="_heading=h.n390cs6c39f1" w:id="4"/>
      <w:bookmarkEnd w:id="4"/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di partecipare alla selezione come esperto esterno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essere cittadino/a italiano/a o di essere cittadino/a dello stato _______________________________ e di essere in possesso dei seguenti requisiti di cui all’art. 3 del DPCM 7.2.1994 n.174.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godere dei diritti civili e politici nello Stato di appartenenza o di provenienza, ovvero i motivi che ne impediscano o limitano il godimento ________________________________________;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essere in possesso, fatta eccezione della cittadinanza italiana, di tutti gli altri requisiti previsti per i cittadini della Repubblica; c. avere adeguata conoscenza della lingua italiana.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essere iscritto/a nelle liste elettorali del Comune di _________________________________;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 non essere iscritto/a nelle liste elettorali per il seguente motivo: ___________________________________________________________________;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‬‬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 essere in possesso dei diritti civili e politici;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 essere in possesso del seguente titolo di studio:________________________________;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di </w:t>
      </w: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non avere riportato condanne penali</w:t>
      </w: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‬‬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aver riportato le seguenti condanne penali (indicare la data della sentenza, l’Autorità che l’ha emessa ed il reato commesso; la dichiarazione va resa anche per le condanne condonate; vanno inoltre indicati i procedimenti penali per i quali sia intervenuta amnistia o perdono giudiziale, le eventuali condanne riportate anche a seguito di patteggiamenti, i decreti penali di condanna e comunque tutte le condanne che godono del beneficio della non menzione nel Casellario Giudiziale): ______________________________________________________________;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di </w:t>
      </w: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non avere procedimenti penali in corso;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‬‬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di </w:t>
      </w: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aver in corso i seguenti procedimenti penali: (indicare specificatamente i procedimenti penali in corso, citando gli estremi del procedimento nonché i reati per i quali si procede):  _______________________________________________________________________;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 non essere stato destituito o dispensato dall’impiego presso una pubblica amministrazione per persistente insufficiente rendimento;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 non essere stato dichiarato decaduto da un impiego statale per aver conseguito l’impiego stesso mediante la produzione di documenti falsi o viziati da invalidità non sanabile;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 non essere stato interdetto dai pubblici uffici in base a sentenza passata in giudicato;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 essere fisicamente idoneo all’impiego;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sz w:val="24"/>
          <w:szCs w:val="24"/>
          <w:u w:val="none"/>
        </w:rPr>
      </w:pP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di aver letto e di accettare incondizionatamente tutte le condizioni previste nell’avviso;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 autorizzare il trattamento dei dati personali per le finalità legate alla procedura concorsuale, ai sensi del D.Lgs. n. 196/2003</w:t>
      </w: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5.19685039370086" w:right="0" w:hanging="360"/>
        <w:jc w:val="both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 essere consapevole della veridicità delle dichiarazioni contenute nella domanda e di essere a conoscenza delle sanzioni penali di cui al DPR. 445/2000 in caso di false dichiarazioni.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Allega fotocopia di un documento di identità in corso di validità;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Data__________________ </w:t>
      </w: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right"/>
        <w:rPr>
          <w:rFonts w:ascii="Overlock" w:cs="Overlock" w:eastAsia="Overlock" w:hAnsi="Overlock"/>
          <w:sz w:val="24"/>
          <w:szCs w:val="24"/>
        </w:rPr>
      </w:pPr>
      <w:r w:rsidDel="00000000" w:rsidR="00000000" w:rsidRPr="00000000">
        <w:rPr>
          <w:rFonts w:ascii="Overlock" w:cs="Overlock" w:eastAsia="Overlock" w:hAnsi="Overlock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verlock" w:cs="Overlock" w:eastAsia="Overlock" w:hAnsi="Overlock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 (firma autografa non autenticata)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133.8582677165355" w:right="1133.858267716535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Times New Roman"/>
  <w:font w:name="Courier New"/>
  <w:font w:name="Overloc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❏"/>
      <w:lvlJc w:val="left"/>
      <w:pPr>
        <w:ind w:left="795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verlock-regular.ttf"/><Relationship Id="rId2" Type="http://schemas.openxmlformats.org/officeDocument/2006/relationships/font" Target="fonts/Overlock-bold.ttf"/><Relationship Id="rId3" Type="http://schemas.openxmlformats.org/officeDocument/2006/relationships/font" Target="fonts/Overlock-italic.ttf"/><Relationship Id="rId4" Type="http://schemas.openxmlformats.org/officeDocument/2006/relationships/font" Target="fonts/Overlock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Cye5Udw+bo8XXRQazeRrGXK2vA==">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