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Allegato 3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1097850</wp:posOffset>
            </wp:positionH>
            <wp:positionV relativeFrom="paragraph">
              <wp:posOffset>457200</wp:posOffset>
            </wp:positionV>
            <wp:extent cx="3919538" cy="674966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19538" cy="6749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</w:t>
      </w:r>
    </w:p>
    <w:p w:rsidR="00000000" w:rsidDel="00000000" w:rsidP="00000000" w:rsidRDefault="00000000" w:rsidRPr="00000000" w14:paraId="00000009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CODICE IDENTIFICATIVO PROGETTO: ESO4.5.A2.B-FSEPNAB-2026-130</w:t>
      </w:r>
    </w:p>
    <w:p w:rsidR="00000000" w:rsidDel="00000000" w:rsidP="00000000" w:rsidRDefault="00000000" w:rsidRPr="00000000" w14:paraId="0000000A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CUP: G14D26003700007</w:t>
      </w:r>
    </w:p>
    <w:p w:rsidR="00000000" w:rsidDel="00000000" w:rsidP="00000000" w:rsidRDefault="00000000" w:rsidRPr="00000000" w14:paraId="0000000B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AVVISO SELEZIONE ESPERTO E TUTOR RIVOLTA AL PERSONALE INTERNO, OPPURE DI ALTRE ISTITUZIONI SCOLASTICHE OPPURE ESTERNO</w:t>
      </w:r>
    </w:p>
    <w:p w:rsidR="00000000" w:rsidDel="00000000" w:rsidP="00000000" w:rsidRDefault="00000000" w:rsidRPr="00000000" w14:paraId="0000000C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“Dalla valutazione degli apprendimenti alla valutazione per l’orientamento: strategie per alunni con BES e DSA” - “Innovare gli ambienti di apprendimento: metodologie attive per una didattica orientativa e coinvolgente” - “Clima di classe e benessere relazionale: strategie per la prevenzione del bullismo e gestione delle dinamiche di gruppo.” - “Internazionalizzazione e innovazione: la metodologia CLIL come ponte verso le competenze globali.” - “Sguardi che orientano: l’osservazione sistematica e la valutazione descrittiva nella continuità 3-10 anni” - “Gestire le sfide del comportamento: tecniche di de-escalation, supporto proattivo e strategie per il benessere del gruppo classe” - “Gestione della complessità in classe: strategie di de-escalation, mediazione dei conflitti e promozione della responsabilità.” - “Narrazioni digitali e linguaggi audiovisivi: l’audiovisivo come strumento di apprendimento attivo e contrasto alla dispersione.” - “Progettare per unità di apprendimento: strategie avanzate di micro e macro progettazione per una didattica efficace”</w:t>
      </w:r>
    </w:p>
    <w:p w:rsidR="00000000" w:rsidDel="00000000" w:rsidP="00000000" w:rsidRDefault="00000000" w:rsidRPr="00000000" w14:paraId="0000000D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80" w:line="240" w:lineRule="auto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 _________________________, nato/a a _______________________ (__) il giorno __/__/____ e residente a _____________________________ (__) in via ______________________,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both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consapevole delle sanzioni penali applicabili in caso di dichiarazioni mendaci e non veritiere che sono previste dagli articoli 75 e 76 del D.P.R 28/12/2000 n. 445 e per gli effetti dell’art. 47 del citato D.P.R. 445/2000, </w:t>
      </w: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sotto</w:t>
      </w: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la propria personale responsabilità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12">
      <w:pPr>
        <w:spacing w:after="0" w:line="360" w:lineRule="auto"/>
        <w:ind w:left="0" w:firstLine="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di possedere il seguente titolo di accesso previsto dall’avviso all’articolo 4 dell’AVVISO):</w:t>
      </w:r>
    </w:p>
    <w:p w:rsidR="00000000" w:rsidDel="00000000" w:rsidP="00000000" w:rsidRDefault="00000000" w:rsidRPr="00000000" w14:paraId="00000013">
      <w:pPr>
        <w:spacing w:after="0" w:line="276" w:lineRule="auto"/>
        <w:ind w:left="720" w:firstLine="0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ind w:left="720" w:firstLine="0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ind w:left="72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930205189"/>
        <w:tag w:val="goog_rdk_7"/>
      </w:sdtPr>
      <w:sdtContent>
        <w:tbl>
          <w:tblPr>
            <w:tblStyle w:val="Table1"/>
            <w:tblW w:w="11145.0" w:type="dxa"/>
            <w:jc w:val="left"/>
            <w:tblInd w:w="-705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400"/>
            <w:gridCol w:w="8745"/>
            <w:tblGridChange w:id="0">
              <w:tblGrid>
                <w:gridCol w:w="2400"/>
                <w:gridCol w:w="8745"/>
              </w:tblGrid>
            </w:tblGridChange>
          </w:tblGrid>
          <w:tr>
            <w:trPr>
              <w:cantSplit w:val="0"/>
              <w:trHeight w:val="720" w:hRule="atLeast"/>
              <w:tblHeader w:val="0"/>
            </w:trPr>
            <w:sdt>
              <w:sdtPr>
                <w:id w:val="1845696368"/>
                <w:tag w:val="goog_rdk_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6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Verdana" w:cs="Verdana" w:eastAsia="Verdana" w:hAnsi="Verdana"/>
                        <w:b w:val="1"/>
                        <w:bCs w:val="1"/>
                        <w:sz w:val="18"/>
                        <w:szCs w:val="18"/>
                        <w:rtl w:val="0"/>
                      </w:rPr>
                      <w:t xml:space="preserve">ATTIVITÀ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tc>
              <w:tcPr>
                <w:tcBorders>
                  <w:top w:color="000000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7">
                <w:pPr>
                  <w:widowControl w:val="0"/>
                  <w:spacing w:after="0" w:line="276" w:lineRule="auto"/>
                  <w:jc w:val="center"/>
                  <w:rPr>
                    <w:vertAlign w:val="superscript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18"/>
                    <w:szCs w:val="18"/>
                    <w:rtl w:val="0"/>
                  </w:rPr>
                  <w:t xml:space="preserve">TITOLO DI ACCESSO</w:t>
                </w:r>
                <w:r w:rsidDel="00000000" w:rsidR="00000000" w:rsidRPr="00000000">
                  <w:rPr>
                    <w:rtl w:val="0"/>
                  </w:rPr>
                  <w:t xml:space="preserve">: INDICARLO DETTAGLIATAMENTE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590" w:hRule="atLeast"/>
              <w:tblHeader w:val="0"/>
            </w:trPr>
            <w:sdt>
              <w:sdtPr>
                <w:id w:val="1072394733"/>
                <w:tag w:val="goog_rdk_1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Dalla valutazione degli apprendimenti alla valutazione per l’orientamento: strategie per alunni con BES e DSA.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9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ESPERTO: </w:t>
                </w:r>
              </w:p>
              <w:p w:rsidR="00000000" w:rsidDel="00000000" w:rsidP="00000000" w:rsidRDefault="00000000" w:rsidRPr="00000000" w14:paraId="0000001A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TUTOR:</w:t>
                </w:r>
              </w:p>
            </w:tc>
          </w:tr>
          <w:tr>
            <w:trPr>
              <w:cantSplit w:val="0"/>
              <w:trHeight w:val="1365" w:hRule="atLeast"/>
              <w:tblHeader w:val="0"/>
            </w:trPr>
            <w:sdt>
              <w:sdtPr>
                <w:id w:val="-1645405056"/>
                <w:tag w:val="goog_rdk_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C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Innovare gli ambienti di apprendimento: metodologie attive per una didattica orientativa e coinvolgente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D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ESPERTO: </w:t>
                </w:r>
              </w:p>
              <w:p w:rsidR="00000000" w:rsidDel="00000000" w:rsidP="00000000" w:rsidRDefault="00000000" w:rsidRPr="00000000" w14:paraId="0000001E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F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TUTOR:</w:t>
                </w:r>
              </w:p>
            </w:tc>
          </w:tr>
          <w:tr>
            <w:trPr>
              <w:cantSplit w:val="0"/>
              <w:trHeight w:val="1155" w:hRule="atLeast"/>
              <w:tblHeader w:val="0"/>
            </w:trPr>
            <w:sdt>
              <w:sdtPr>
                <w:id w:val="-946586218"/>
                <w:tag w:val="goog_rdk_3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0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Clima di classe e benessere relazionale: strategie per la prevenzione del bullismo e gestione delle dinamiche di gruppo.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1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ESPERTO: </w:t>
                </w:r>
              </w:p>
              <w:p w:rsidR="00000000" w:rsidDel="00000000" w:rsidP="00000000" w:rsidRDefault="00000000" w:rsidRPr="00000000" w14:paraId="00000022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3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TUTOR:</w:t>
                </w:r>
              </w:p>
            </w:tc>
          </w:tr>
          <w:tr>
            <w:trPr>
              <w:cantSplit w:val="0"/>
              <w:trHeight w:val="2010" w:hRule="atLeast"/>
              <w:tblHeader w:val="0"/>
            </w:trPr>
            <w:sdt>
              <w:sdtPr>
                <w:id w:val="-712834061"/>
                <w:tag w:val="goog_rdk_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4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  <w:p w:rsidR="00000000" w:rsidDel="00000000" w:rsidP="00000000" w:rsidRDefault="00000000" w:rsidRPr="00000000" w14:paraId="00000025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Internazionalizzazione e innovazione: la metodologia CLIL come ponte verso le competenze globali.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6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ESPERTO: </w:t>
                </w:r>
              </w:p>
              <w:p w:rsidR="00000000" w:rsidDel="00000000" w:rsidP="00000000" w:rsidRDefault="00000000" w:rsidRPr="00000000" w14:paraId="00000027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TUTOR:</w:t>
                </w:r>
              </w:p>
            </w:tc>
          </w:tr>
          <w:tr>
            <w:trPr>
              <w:cantSplit w:val="0"/>
              <w:trHeight w:val="2010" w:hRule="atLeast"/>
              <w:tblHeader w:val="0"/>
            </w:trPr>
            <w:sdt>
              <w:sdtPr>
                <w:id w:val="-893364686"/>
                <w:tag w:val="goog_rdk_5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9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Sguardi che orientano: l’osservazione sistematica e la valutazione descrittiva nella continuità 3-10 anni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A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ESPERTO: </w:t>
                </w:r>
              </w:p>
              <w:p w:rsidR="00000000" w:rsidDel="00000000" w:rsidP="00000000" w:rsidRDefault="00000000" w:rsidRPr="00000000" w14:paraId="0000002B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C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TUTOR:</w:t>
                </w:r>
              </w:p>
            </w:tc>
          </w:tr>
          <w:tr>
            <w:trPr>
              <w:cantSplit w:val="0"/>
              <w:trHeight w:val="1155" w:hRule="atLeast"/>
              <w:tblHeader w:val="0"/>
            </w:trPr>
            <w:sdt>
              <w:sdtPr>
                <w:id w:val="-1462570984"/>
                <w:tag w:val="goog_rdk_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D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Gestire le sfide del comportamento: tecniche di de-escalation, supporto proattivo e strategie per il benessere del gruppo classe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E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ESPERTO: </w:t>
                </w:r>
              </w:p>
              <w:p w:rsidR="00000000" w:rsidDel="00000000" w:rsidP="00000000" w:rsidRDefault="00000000" w:rsidRPr="00000000" w14:paraId="0000002F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0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TUTOR:</w:t>
                </w:r>
              </w:p>
            </w:tc>
          </w:tr>
          <w:tr>
            <w:trPr>
              <w:cantSplit w:val="0"/>
              <w:trHeight w:val="1155" w:hRule="atLeast"/>
              <w:tblHeader w:val="0"/>
            </w:trPr>
            <w:tc>
              <w:tcPr>
                <w:tcBorders>
                  <w:top w:color="cccccc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1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Gestione della complessità in classe: strategie di de-escalation, mediazione dei conflitti e promozione della responsabilità.</w:t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2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ESPERTO: </w:t>
                </w:r>
              </w:p>
              <w:p w:rsidR="00000000" w:rsidDel="00000000" w:rsidP="00000000" w:rsidRDefault="00000000" w:rsidRPr="00000000" w14:paraId="00000033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4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TUTOR:</w:t>
                </w:r>
              </w:p>
            </w:tc>
          </w:tr>
          <w:tr>
            <w:trPr>
              <w:cantSplit w:val="0"/>
              <w:trHeight w:val="1155" w:hRule="atLeast"/>
              <w:tblHeader w:val="0"/>
            </w:trPr>
            <w:tc>
              <w:tcPr>
                <w:tcBorders>
                  <w:top w:color="cccccc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5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Narrazioni digitali e linguaggi audiovisivi: l’audiovisivo come strumento di apprendimento attivo e contrasto alla dispersione</w:t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6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ESPERTO: </w:t>
                </w:r>
              </w:p>
              <w:p w:rsidR="00000000" w:rsidDel="00000000" w:rsidP="00000000" w:rsidRDefault="00000000" w:rsidRPr="00000000" w14:paraId="00000037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TUTOR:</w:t>
                </w:r>
              </w:p>
            </w:tc>
          </w:tr>
          <w:tr>
            <w:trPr>
              <w:cantSplit w:val="0"/>
              <w:trHeight w:val="1155" w:hRule="atLeast"/>
              <w:tblHeader w:val="0"/>
            </w:trPr>
            <w:tc>
              <w:tcPr>
                <w:tcBorders>
                  <w:top w:color="cccccc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9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Progettare per unità di apprendimento: strategie avanzate di micro e macro progettazione per una didattica efficace.</w:t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A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ESPERTO: </w:t>
                </w:r>
              </w:p>
              <w:p w:rsidR="00000000" w:rsidDel="00000000" w:rsidP="00000000" w:rsidRDefault="00000000" w:rsidRPr="00000000" w14:paraId="0000003B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C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TUTOR:</w:t>
                </w:r>
              </w:p>
            </w:tc>
          </w:tr>
        </w:tbl>
      </w:sdtContent>
    </w:sdt>
    <w:p w:rsidR="00000000" w:rsidDel="00000000" w:rsidP="00000000" w:rsidRDefault="00000000" w:rsidRPr="00000000" w14:paraId="0000003D">
      <w:pPr>
        <w:spacing w:after="280" w:before="280" w:line="276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76" w:lineRule="auto"/>
        <w:ind w:left="72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  <w:highlight w:val="yellow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76" w:lineRule="auto"/>
        <w:ind w:left="72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  <w:highlight w:val="yellow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76" w:lineRule="auto"/>
        <w:ind w:left="720" w:firstLine="0"/>
        <w:jc w:val="left"/>
        <w:rPr>
          <w:rFonts w:ascii="Verdana" w:cs="Verdana" w:eastAsia="Verdana" w:hAnsi="Verdana"/>
          <w:b w:val="1"/>
          <w:bCs w:val="1"/>
          <w:sz w:val="20"/>
          <w:szCs w:val="20"/>
          <w:highlight w:val="yellow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76" w:lineRule="auto"/>
        <w:ind w:left="72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  <w:highlight w:val="yellow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76" w:lineRule="auto"/>
        <w:ind w:left="72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  <w:highlight w:val="yellow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luogo e data</w:t>
      </w:r>
      <w:r w:rsidDel="00000000" w:rsidR="00000000" w:rsidRPr="00000000">
        <w:rPr>
          <w:rFonts w:ascii="Overlock" w:cs="Overlock" w:eastAsia="Overlock" w:hAnsi="Overlock"/>
          <w:i w:val="1"/>
          <w:iCs w:val="1"/>
          <w:sz w:val="24"/>
          <w:szCs w:val="24"/>
          <w:rtl w:val="0"/>
        </w:rPr>
        <w:t xml:space="preserve">                                         </w:t>
        <w:tab/>
        <w:tab/>
        <w:tab/>
        <w:tab/>
        <w:tab/>
        <w:tab/>
      </w:r>
      <w:r w:rsidDel="00000000" w:rsidR="00000000" w:rsidRPr="00000000">
        <w:rPr>
          <w:rFonts w:ascii="Overlock" w:cs="Overlock" w:eastAsia="Overlock" w:hAnsi="Overlock"/>
          <w:b w:val="0"/>
          <w:bCs w:val="0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Firm</w:t>
      </w:r>
      <w:r w:rsidDel="00000000" w:rsidR="00000000" w:rsidRPr="00000000">
        <w:rPr>
          <w:rFonts w:ascii="Overlock" w:cs="Overlock" w:eastAsia="Overlock" w:hAnsi="Overlock"/>
          <w:i w:val="1"/>
          <w:iCs w:val="1"/>
          <w:sz w:val="24"/>
          <w:szCs w:val="24"/>
          <w:rtl w:val="0"/>
        </w:rPr>
        <w:t xml:space="preserve">a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133.8582677165355" w:right="1133.858267716535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Overloc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verlock-regular.ttf"/><Relationship Id="rId2" Type="http://schemas.openxmlformats.org/officeDocument/2006/relationships/font" Target="fonts/Overlock-bold.ttf"/><Relationship Id="rId3" Type="http://schemas.openxmlformats.org/officeDocument/2006/relationships/font" Target="fonts/Overlock-italic.ttf"/><Relationship Id="rId4" Type="http://schemas.openxmlformats.org/officeDocument/2006/relationships/font" Target="fonts/Overloc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CCTcFNKnwdjViS6EgfYadhnw0g==">CgMxLjAaPwoBMBI6CjgIAho0ChgvSnUxTXg4a0hINEVwS2d1dzB1cDN3PT0SGFAzR1FFMnQxaVlqVVJVZHF3Nndoa1E9PRolCgExEiAKHggCGhoKGDJaTnRHNlBpcm5HYmo1L1dVK2hDZ1E9PRolCgEyEiAKHggCGhoKGFRuYnVNbnJRVExYajFOMUI3NHZZM0E9PRolCgEzEiAKHggCGhoKGFMwSU1wVENHa2paRFFmcnZnMEdNQWc9PRolCgE0EiAKHggCGhoKGGV1a01sZzd0eWJ0Q3BPQTRBUUduVmc9PRolCgE1EiAKHggCGhoKGGV1a01sZzd0eWJ0Q3BPQTRBUUduVmc9PRolCgE2EiAKHggCGhoKGDdGZTZ0c0RiTVZLSWI5djVhd3k1dXc9PRpaCgE3ElUKUwgJUk8SLDFMY0w4dTF0YzU4enMxcUM5NDhYVlZMZC02cnNfa2gtOGhqVWtiMFQ2dV9NGgISACIbW1tbIjE1NjQ2OTc0NDkiLDAsMTYsMSw3XV1dOAByITFUU2JmR2F1SmItUjdLUEFNaGdaQkpJdEJDaVJtcUJH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